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14A0" w14:textId="77777777" w:rsidR="006958DC" w:rsidRPr="006958DC" w:rsidRDefault="006958DC" w:rsidP="006958DC">
      <w:pPr>
        <w:spacing w:after="200"/>
        <w:rPr>
          <w:rFonts w:ascii="Arial" w:hAnsi="Arial" w:cs="Arial"/>
          <w:b/>
          <w:bCs/>
          <w:caps/>
          <w:color w:val="77A22D"/>
          <w:sz w:val="21"/>
          <w:szCs w:val="21"/>
          <w14:ligatures w14:val="none"/>
        </w:rPr>
      </w:pPr>
      <w:r>
        <w:rPr>
          <w:rFonts w:eastAsia="MS ??"/>
          <w:i/>
          <w:iCs/>
        </w:rPr>
        <w:t xml:space="preserve"> </w:t>
      </w:r>
      <w:r w:rsidRPr="006958DC">
        <w:rPr>
          <w:rFonts w:eastAsia="MS ??"/>
          <w:i/>
          <w:iCs/>
          <w14:ligatures w14:val="none"/>
        </w:rPr>
        <w:t>Tax &amp; Business Alert</w:t>
      </w:r>
      <w:r w:rsidRPr="006958DC">
        <w:rPr>
          <w:rFonts w:eastAsia="MS ??"/>
          <w14:ligatures w14:val="none"/>
        </w:rPr>
        <w:t xml:space="preserve"> – October 2024</w:t>
      </w:r>
    </w:p>
    <w:p w14:paraId="7BA52752" w14:textId="77777777" w:rsidR="006958DC" w:rsidRPr="006958DC" w:rsidRDefault="006958DC" w:rsidP="006958DC">
      <w:pPr>
        <w:rPr>
          <w14:ligatures w14:val="none"/>
        </w:rPr>
      </w:pPr>
    </w:p>
    <w:p w14:paraId="09E275E5" w14:textId="77777777" w:rsidR="006958DC" w:rsidRPr="006958DC" w:rsidRDefault="006958DC" w:rsidP="006958DC">
      <w:pPr>
        <w:rPr>
          <w14:ligatures w14:val="none"/>
        </w:rPr>
      </w:pPr>
      <w:r w:rsidRPr="006958DC">
        <w:rPr>
          <w14:ligatures w14:val="none"/>
        </w:rPr>
        <w:t>Word count target: 520-540</w:t>
      </w:r>
    </w:p>
    <w:p w14:paraId="4FD18478" w14:textId="77777777" w:rsidR="006958DC" w:rsidRPr="006958DC" w:rsidRDefault="006958DC" w:rsidP="006958DC">
      <w:pPr>
        <w:spacing w:before="120"/>
        <w:rPr>
          <w:rFonts w:ascii="Times New Roman" w:eastAsia="Times New Roman" w:hAnsi="Times New Roman"/>
          <w:b/>
          <w:color w:val="C00000"/>
          <w14:ligatures w14:val="none"/>
        </w:rPr>
      </w:pPr>
      <w:r w:rsidRPr="006958DC">
        <w:rPr>
          <w:rFonts w:ascii="Times New Roman" w:eastAsia="Times New Roman" w:hAnsi="Times New Roman"/>
          <w14:ligatures w14:val="none"/>
        </w:rPr>
        <w:t xml:space="preserve">Actual: </w:t>
      </w:r>
    </w:p>
    <w:p w14:paraId="33D3C4DD" w14:textId="77777777" w:rsidR="006958DC" w:rsidRPr="006958DC" w:rsidRDefault="006958DC" w:rsidP="006958DC">
      <w:pPr>
        <w:rPr>
          <w:rFonts w:ascii="Times New Roman" w:hAnsi="Times New Roman"/>
          <w:b/>
          <w14:ligatures w14:val="none"/>
        </w:rPr>
      </w:pPr>
    </w:p>
    <w:p w14:paraId="5E3420E2" w14:textId="77777777" w:rsidR="006958DC" w:rsidRPr="006958DC" w:rsidRDefault="006958DC" w:rsidP="006958DC">
      <w:pPr>
        <w:rPr>
          <w:rFonts w:ascii="Times New Roman" w:hAnsi="Times New Roman"/>
          <w:b/>
          <w14:ligatures w14:val="none"/>
        </w:rPr>
      </w:pPr>
    </w:p>
    <w:p w14:paraId="10DE6CB3" w14:textId="77777777" w:rsidR="006958DC" w:rsidRPr="006958DC" w:rsidRDefault="006958DC" w:rsidP="006958DC">
      <w:pPr>
        <w:rPr>
          <w:rFonts w:ascii="Times New Roman" w:hAnsi="Times New Roman"/>
          <w:spacing w:val="-3"/>
          <w14:ligatures w14:val="none"/>
        </w:rPr>
      </w:pPr>
      <w:r w:rsidRPr="006958DC">
        <w:rPr>
          <w:rFonts w:ascii="Times New Roman" w:hAnsi="Times New Roman"/>
          <w:b/>
          <w14:ligatures w14:val="none"/>
        </w:rPr>
        <w:t>Abstract:</w:t>
      </w:r>
      <w:r w:rsidRPr="006958DC">
        <w:rPr>
          <w:rFonts w:ascii="Times New Roman" w:hAnsi="Times New Roman"/>
          <w:bCs/>
          <w14:ligatures w14:val="none"/>
        </w:rPr>
        <w:t xml:space="preserve">   </w:t>
      </w:r>
      <w:r w:rsidRPr="006958DC">
        <w:rPr>
          <w:rFonts w:ascii="Times New Roman" w:hAnsi="Times New Roman"/>
          <w14:ligatures w14:val="none"/>
        </w:rPr>
        <w:t xml:space="preserve">Some small businesses have been struggling with morale for a variety of reasons, one of which may be economic uncertainty. They might be able to boost their employees’ spirits with a relatively low-cost fringe benefit: an achievement awards program. This article discusses the tax implications of such a program and </w:t>
      </w:r>
      <w:r w:rsidRPr="006958DC">
        <w:rPr>
          <w:rFonts w:ascii="Times New Roman" w:hAnsi="Times New Roman"/>
          <w:spacing w:val="-3"/>
          <w14:ligatures w14:val="none"/>
        </w:rPr>
        <w:t>the importance of determining whether it is nonqualified or qualified.</w:t>
      </w:r>
    </w:p>
    <w:p w14:paraId="3FFCC666" w14:textId="77777777" w:rsidR="006958DC" w:rsidRPr="006958DC" w:rsidRDefault="006958DC" w:rsidP="006958DC">
      <w:pPr>
        <w:rPr>
          <w:rFonts w:ascii="Times New Roman" w:hAnsi="Times New Roman"/>
          <w:b/>
          <w14:ligatures w14:val="none"/>
        </w:rPr>
      </w:pPr>
    </w:p>
    <w:p w14:paraId="5F5419CF" w14:textId="77777777" w:rsidR="006958DC" w:rsidRPr="00095B85" w:rsidRDefault="006958DC" w:rsidP="006958DC">
      <w:pPr>
        <w:rPr>
          <w:rFonts w:ascii="Times New Roman" w:hAnsi="Times New Roman"/>
          <w:b/>
          <w:sz w:val="28"/>
          <w:szCs w:val="28"/>
          <w14:ligatures w14:val="none"/>
        </w:rPr>
      </w:pPr>
      <w:r w:rsidRPr="00095B85">
        <w:rPr>
          <w:rFonts w:ascii="Times New Roman" w:hAnsi="Times New Roman"/>
          <w:b/>
          <w:sz w:val="28"/>
          <w:szCs w:val="28"/>
          <w14:ligatures w14:val="none"/>
        </w:rPr>
        <w:t xml:space="preserve">Boost morale and save taxes with achievement awards </w:t>
      </w:r>
    </w:p>
    <w:p w14:paraId="386F0379" w14:textId="77777777" w:rsidR="006958DC" w:rsidRPr="006958DC" w:rsidRDefault="006958DC" w:rsidP="006958DC">
      <w:pPr>
        <w:rPr>
          <w:rFonts w:ascii="Times New Roman" w:hAnsi="Times New Roman"/>
          <w14:ligatures w14:val="none"/>
        </w:rPr>
      </w:pPr>
    </w:p>
    <w:p w14:paraId="15E51AAB" w14:textId="4CD0AD68" w:rsidR="006958DC" w:rsidRPr="006958DC" w:rsidRDefault="006958DC" w:rsidP="006958DC">
      <w:pPr>
        <w:spacing w:after="200"/>
        <w:rPr>
          <w:rFonts w:ascii="Times New Roman" w:hAnsi="Times New Roman"/>
          <w14:ligatures w14:val="none"/>
        </w:rPr>
      </w:pPr>
      <w:r w:rsidRPr="006958DC">
        <w:rPr>
          <w:rFonts w:ascii="Times New Roman" w:hAnsi="Times New Roman"/>
          <w14:ligatures w14:val="none"/>
        </w:rPr>
        <w:t>Some small businesses struggle with employee morale for a variety of reasons, one of which may be economic uncertainty. If you want to boost employees’ spirits without a big financial outlay, an achievement awards program is a relatively low-cost fringe benefit that may be a win-win addition.</w:t>
      </w:r>
    </w:p>
    <w:p w14:paraId="113CC035" w14:textId="77777777" w:rsidR="006958DC" w:rsidRPr="006958DC" w:rsidRDefault="006958DC" w:rsidP="006958DC">
      <w:pPr>
        <w:spacing w:after="200"/>
        <w:rPr>
          <w:rFonts w:ascii="Times New Roman" w:hAnsi="Times New Roman"/>
          <w14:ligatures w14:val="none"/>
        </w:rPr>
      </w:pPr>
      <w:r w:rsidRPr="006958DC">
        <w:rPr>
          <w:rFonts w:ascii="Times New Roman" w:hAnsi="Times New Roman"/>
          <w14:ligatures w14:val="none"/>
        </w:rPr>
        <w:t xml:space="preserve">Under such an initiative, you can hand out awards at an appointed time, such as a year-end ceremony or holiday party. And, as long as you follow the rules, the awards will be tax-deductible for your company and tax-free for recipient employees. </w:t>
      </w:r>
    </w:p>
    <w:p w14:paraId="62A65990" w14:textId="77777777" w:rsidR="006958DC" w:rsidRPr="006958DC" w:rsidRDefault="006958DC" w:rsidP="006958DC">
      <w:pPr>
        <w:spacing w:after="200"/>
        <w:rPr>
          <w:rFonts w:ascii="Times New Roman" w:hAnsi="Times New Roman"/>
          <w:b/>
          <w:bCs/>
          <w14:ligatures w14:val="none"/>
        </w:rPr>
      </w:pPr>
      <w:r w:rsidRPr="006958DC">
        <w:rPr>
          <w:rFonts w:ascii="Times New Roman" w:hAnsi="Times New Roman"/>
          <w:b/>
          <w:bCs/>
          <w14:ligatures w14:val="none"/>
        </w:rPr>
        <w:t>Fulfilling the requirements</w:t>
      </w:r>
    </w:p>
    <w:p w14:paraId="22C6DEE1" w14:textId="77777777" w:rsidR="006958DC" w:rsidRPr="006958DC" w:rsidRDefault="006958DC" w:rsidP="006958DC">
      <w:pPr>
        <w:spacing w:after="200"/>
        <w:rPr>
          <w:rFonts w:ascii="Times New Roman" w:hAnsi="Times New Roman"/>
          <w:color w:val="000000"/>
          <w:spacing w:val="-3"/>
          <w14:ligatures w14:val="none"/>
        </w:rPr>
      </w:pPr>
      <w:r w:rsidRPr="006958DC">
        <w:rPr>
          <w:rFonts w:ascii="Times New Roman" w:hAnsi="Times New Roman"/>
          <w14:ligatures w14:val="none"/>
        </w:rPr>
        <w:t xml:space="preserve">To qualify for favorable tax treatment, achievement awards must be tangible items, ranging from a gold watch or a smartphone to a plaque or a trophy, which are granted </w:t>
      </w:r>
      <w:r w:rsidRPr="006958DC">
        <w:rPr>
          <w:rFonts w:ascii="Times New Roman" w:hAnsi="Times New Roman"/>
          <w:spacing w:val="-3"/>
          <w14:ligatures w14:val="none"/>
        </w:rPr>
        <w:t xml:space="preserve">to employees for either </w:t>
      </w:r>
      <w:r w:rsidRPr="006958DC">
        <w:rPr>
          <w:rFonts w:ascii="Times New Roman" w:hAnsi="Times New Roman"/>
          <w:bCs/>
          <w:spacing w:val="-3"/>
          <w14:ligatures w14:val="none"/>
        </w:rPr>
        <w:t>length of service</w:t>
      </w:r>
      <w:r w:rsidRPr="006958DC">
        <w:rPr>
          <w:rFonts w:ascii="Times New Roman" w:hAnsi="Times New Roman"/>
          <w:spacing w:val="-3"/>
          <w14:ligatures w14:val="none"/>
        </w:rPr>
        <w:t xml:space="preserve"> or promoting </w:t>
      </w:r>
      <w:r w:rsidRPr="006958DC">
        <w:rPr>
          <w:rFonts w:ascii="Times New Roman" w:hAnsi="Times New Roman"/>
          <w:bCs/>
          <w:spacing w:val="-3"/>
          <w14:ligatures w14:val="none"/>
        </w:rPr>
        <w:t>safety in the workplace</w:t>
      </w:r>
      <w:r w:rsidRPr="006958DC">
        <w:rPr>
          <w:rFonts w:ascii="Times New Roman" w:hAnsi="Times New Roman"/>
          <w:spacing w:val="-3"/>
          <w14:ligatures w14:val="none"/>
        </w:rPr>
        <w:t>. The award can’t be disguised compensation or a payoff for closing a big deal. Examples of awards that would violate the rules are gift certificates,</w:t>
      </w:r>
      <w:r w:rsidRPr="006958DC">
        <w:rPr>
          <w:rFonts w:ascii="Times New Roman" w:eastAsia="Times New Roman" w:hAnsi="Times New Roman"/>
          <w14:ligatures w14:val="none"/>
        </w:rPr>
        <w:t xml:space="preserve"> vacations, or tickets to sporting events or concerts. </w:t>
      </w:r>
    </w:p>
    <w:p w14:paraId="426110FD" w14:textId="77777777" w:rsidR="006958DC" w:rsidRPr="006958DC" w:rsidRDefault="006958DC" w:rsidP="006958DC">
      <w:pPr>
        <w:spacing w:after="200"/>
        <w:rPr>
          <w:rFonts w:ascii="Times New Roman" w:hAnsi="Times New Roman"/>
          <w:spacing w:val="-3"/>
          <w14:ligatures w14:val="none"/>
        </w:rPr>
      </w:pPr>
      <w:r w:rsidRPr="006958DC">
        <w:rPr>
          <w:rFonts w:ascii="Times New Roman" w:hAnsi="Times New Roman"/>
          <w:spacing w:val="-3"/>
          <w14:ligatures w14:val="none"/>
        </w:rPr>
        <w:t>The awards program also must meet the following three requirements:</w:t>
      </w:r>
    </w:p>
    <w:p w14:paraId="4F57D89B" w14:textId="6FA8B216" w:rsidR="001B7658" w:rsidRDefault="001B7658" w:rsidP="006958DC">
      <w:pPr>
        <w:spacing w:after="200"/>
        <w:rPr>
          <w:rFonts w:ascii="Times New Roman" w:hAnsi="Times New Roman"/>
          <w:spacing w:val="-3"/>
          <w14:ligatures w14:val="none"/>
        </w:rPr>
      </w:pPr>
      <w:r>
        <w:rPr>
          <w:rFonts w:ascii="Times New Roman" w:hAnsi="Times New Roman"/>
          <w:spacing w:val="-3"/>
          <w14:ligatures w14:val="none"/>
        </w:rPr>
        <w:t xml:space="preserve">1. </w:t>
      </w:r>
      <w:r w:rsidR="00847E66">
        <w:rPr>
          <w:rFonts w:ascii="Times New Roman" w:hAnsi="Times New Roman"/>
          <w:spacing w:val="-3"/>
          <w14:ligatures w14:val="none"/>
        </w:rPr>
        <w:t>S</w:t>
      </w:r>
      <w:r w:rsidR="006958DC" w:rsidRPr="006958DC">
        <w:rPr>
          <w:rFonts w:ascii="Times New Roman" w:hAnsi="Times New Roman"/>
          <w:spacing w:val="-3"/>
          <w14:ligatures w14:val="none"/>
        </w:rPr>
        <w:t xml:space="preserve">afety awards can’t go to managers, administrators, clerical </w:t>
      </w:r>
      <w:proofErr w:type="gramStart"/>
      <w:r w:rsidR="006958DC" w:rsidRPr="006958DC">
        <w:rPr>
          <w:rFonts w:ascii="Times New Roman" w:hAnsi="Times New Roman"/>
          <w:spacing w:val="-3"/>
          <w14:ligatures w14:val="none"/>
        </w:rPr>
        <w:t>workers</w:t>
      </w:r>
      <w:proofErr w:type="gramEnd"/>
      <w:r w:rsidR="006958DC" w:rsidRPr="006958DC">
        <w:rPr>
          <w:rFonts w:ascii="Times New Roman" w:hAnsi="Times New Roman"/>
          <w:spacing w:val="-3"/>
          <w14:ligatures w14:val="none"/>
        </w:rPr>
        <w:t xml:space="preserve"> or other professional employees. Also, an award doesn’t qualify for favorable tax treatment if the company grants safety awards to more than 10% of eligible employees in the same year</w:t>
      </w:r>
      <w:r>
        <w:rPr>
          <w:rFonts w:ascii="Times New Roman" w:hAnsi="Times New Roman"/>
          <w:spacing w:val="-3"/>
          <w14:ligatures w14:val="none"/>
        </w:rPr>
        <w:t>.</w:t>
      </w:r>
    </w:p>
    <w:p w14:paraId="3DF66E63" w14:textId="26A01FC0" w:rsidR="006958DC" w:rsidRPr="006958DC" w:rsidRDefault="006958DC" w:rsidP="006958DC">
      <w:pPr>
        <w:spacing w:after="200"/>
        <w:rPr>
          <w:rFonts w:ascii="Times New Roman" w:hAnsi="Times New Roman"/>
          <w:spacing w:val="-3"/>
          <w14:ligatures w14:val="none"/>
        </w:rPr>
      </w:pPr>
      <w:r w:rsidRPr="006958DC">
        <w:rPr>
          <w:rFonts w:ascii="Times New Roman" w:hAnsi="Times New Roman"/>
          <w:spacing w:val="-3"/>
          <w14:ligatures w14:val="none"/>
        </w:rPr>
        <w:t xml:space="preserve">2. </w:t>
      </w:r>
      <w:r w:rsidR="00847E66">
        <w:rPr>
          <w:rFonts w:ascii="Times New Roman" w:hAnsi="Times New Roman"/>
          <w:spacing w:val="-3"/>
          <w14:ligatures w14:val="none"/>
        </w:rPr>
        <w:t>A</w:t>
      </w:r>
      <w:r w:rsidR="00847E66" w:rsidRPr="006958DC">
        <w:rPr>
          <w:rFonts w:ascii="Times New Roman" w:hAnsi="Times New Roman"/>
          <w:spacing w:val="-3"/>
          <w14:ligatures w14:val="none"/>
        </w:rPr>
        <w:t>ny employee can receive a length-of-service award</w:t>
      </w:r>
      <w:r w:rsidR="00847E66">
        <w:rPr>
          <w:rFonts w:ascii="Times New Roman" w:hAnsi="Times New Roman"/>
          <w:spacing w:val="-3"/>
          <w14:ligatures w14:val="none"/>
        </w:rPr>
        <w:t>, b</w:t>
      </w:r>
      <w:r w:rsidR="00847E66" w:rsidRPr="006958DC">
        <w:rPr>
          <w:rFonts w:ascii="Times New Roman" w:hAnsi="Times New Roman"/>
          <w:spacing w:val="-3"/>
          <w14:ligatures w14:val="none"/>
        </w:rPr>
        <w:t xml:space="preserve">ut </w:t>
      </w:r>
      <w:r w:rsidR="00847E66">
        <w:rPr>
          <w:rFonts w:ascii="Times New Roman" w:hAnsi="Times New Roman"/>
          <w:spacing w:val="-3"/>
          <w14:ligatures w14:val="none"/>
        </w:rPr>
        <w:t>t</w:t>
      </w:r>
      <w:r w:rsidRPr="006958DC">
        <w:rPr>
          <w:rFonts w:ascii="Times New Roman" w:hAnsi="Times New Roman"/>
          <w:spacing w:val="-3"/>
          <w14:ligatures w14:val="none"/>
        </w:rPr>
        <w:t xml:space="preserve">he recipient employee must have worked for the business for at least five years to receive </w:t>
      </w:r>
      <w:r w:rsidR="00847E66">
        <w:rPr>
          <w:rFonts w:ascii="Times New Roman" w:hAnsi="Times New Roman"/>
          <w:spacing w:val="-3"/>
          <w14:ligatures w14:val="none"/>
        </w:rPr>
        <w:t>one</w:t>
      </w:r>
      <w:r w:rsidRPr="006958DC">
        <w:rPr>
          <w:rFonts w:ascii="Times New Roman" w:hAnsi="Times New Roman"/>
          <w:spacing w:val="-3"/>
          <w14:ligatures w14:val="none"/>
        </w:rPr>
        <w:t xml:space="preserve">. In addition, an employee is ineligible if he or she received a length-of-service award within the last five years. </w:t>
      </w:r>
    </w:p>
    <w:p w14:paraId="31F59911" w14:textId="77777777" w:rsidR="006958DC" w:rsidRPr="006958DC" w:rsidRDefault="006958DC" w:rsidP="006958DC">
      <w:pPr>
        <w:spacing w:after="200"/>
        <w:rPr>
          <w:rFonts w:ascii="Times New Roman" w:hAnsi="Times New Roman"/>
          <w:spacing w:val="-3"/>
          <w14:ligatures w14:val="none"/>
        </w:rPr>
      </w:pPr>
      <w:r w:rsidRPr="006958DC">
        <w:rPr>
          <w:rFonts w:ascii="Times New Roman" w:hAnsi="Times New Roman"/>
          <w:spacing w:val="-3"/>
          <w14:ligatures w14:val="none"/>
        </w:rPr>
        <w:t>3. The award must be part of a “meaningful presentation.” That doesn’t mean you have to host a gala awards dinner at the Ritz, but the award should be marked by a ceremony befitting the occasion.</w:t>
      </w:r>
    </w:p>
    <w:p w14:paraId="35FDF77E" w14:textId="77777777" w:rsidR="006958DC" w:rsidRPr="006958DC" w:rsidRDefault="006958DC" w:rsidP="006958DC">
      <w:pPr>
        <w:spacing w:after="200"/>
        <w:rPr>
          <w:rFonts w:ascii="Times New Roman" w:hAnsi="Times New Roman"/>
          <w:b/>
          <w:bCs/>
          <w:spacing w:val="-3"/>
          <w14:ligatures w14:val="none"/>
        </w:rPr>
      </w:pPr>
      <w:r w:rsidRPr="006958DC">
        <w:rPr>
          <w:rFonts w:ascii="Times New Roman" w:hAnsi="Times New Roman"/>
          <w:b/>
          <w:bCs/>
          <w:spacing w:val="-3"/>
          <w14:ligatures w14:val="none"/>
        </w:rPr>
        <w:t>Nonqualified vs. qualified</w:t>
      </w:r>
    </w:p>
    <w:p w14:paraId="6B0C8033" w14:textId="50A8C159" w:rsidR="006958DC" w:rsidRPr="006958DC" w:rsidRDefault="006958DC" w:rsidP="006958DC">
      <w:pPr>
        <w:spacing w:after="200"/>
        <w:rPr>
          <w:rFonts w:ascii="Times New Roman" w:hAnsi="Times New Roman"/>
          <w:spacing w:val="-3"/>
          <w14:ligatures w14:val="none"/>
        </w:rPr>
      </w:pPr>
      <w:r w:rsidRPr="006958DC">
        <w:rPr>
          <w:rFonts w:ascii="Times New Roman" w:hAnsi="Times New Roman"/>
          <w:spacing w:val="-3"/>
          <w14:ligatures w14:val="none"/>
        </w:rPr>
        <w:lastRenderedPageBreak/>
        <w:t xml:space="preserve">There are limits on </w:t>
      </w:r>
      <w:r w:rsidR="00847E66">
        <w:rPr>
          <w:rFonts w:ascii="Times New Roman" w:hAnsi="Times New Roman"/>
          <w:spacing w:val="-3"/>
          <w14:ligatures w14:val="none"/>
        </w:rPr>
        <w:t>an</w:t>
      </w:r>
      <w:r w:rsidR="00847E66" w:rsidRPr="006958DC">
        <w:rPr>
          <w:rFonts w:ascii="Times New Roman" w:hAnsi="Times New Roman"/>
          <w:spacing w:val="-3"/>
          <w14:ligatures w14:val="none"/>
        </w:rPr>
        <w:t xml:space="preserve"> </w:t>
      </w:r>
      <w:r w:rsidRPr="006958DC">
        <w:rPr>
          <w:rFonts w:ascii="Times New Roman" w:hAnsi="Times New Roman"/>
          <w:spacing w:val="-3"/>
          <w14:ligatures w14:val="none"/>
        </w:rPr>
        <w:t xml:space="preserve">award’s value depending on whether the achievement awards program is nonqualified or qualified. If you establish a nonqualified program, the annual maximum award is $400. Conversely, the maximum for a qualified program is $1,600 (including nonqualified awards). Any excess above these amounts is nondeductible </w:t>
      </w:r>
      <w:r w:rsidR="00847E66">
        <w:rPr>
          <w:rFonts w:ascii="Times New Roman" w:hAnsi="Times New Roman"/>
          <w:spacing w:val="-3"/>
          <w14:ligatures w14:val="none"/>
        </w:rPr>
        <w:t>for</w:t>
      </w:r>
      <w:r w:rsidRPr="006958DC">
        <w:rPr>
          <w:rFonts w:ascii="Times New Roman" w:hAnsi="Times New Roman"/>
          <w:spacing w:val="-3"/>
          <w14:ligatures w14:val="none"/>
        </w:rPr>
        <w:t xml:space="preserve"> the employer and taxable to the employee. If an employee receives multiple awards in one year, these figures apply to the total, not to each individual award. </w:t>
      </w:r>
    </w:p>
    <w:p w14:paraId="4987894C" w14:textId="553F6ABB" w:rsidR="006958DC" w:rsidRPr="006958DC" w:rsidRDefault="006958DC" w:rsidP="006958DC">
      <w:pPr>
        <w:spacing w:after="200"/>
        <w:rPr>
          <w:rFonts w:ascii="Times New Roman" w:hAnsi="Times New Roman"/>
          <w:spacing w:val="-3"/>
          <w14:ligatures w14:val="none"/>
        </w:rPr>
      </w:pPr>
      <w:r w:rsidRPr="006958DC">
        <w:rPr>
          <w:rFonts w:ascii="Times New Roman" w:hAnsi="Times New Roman"/>
          <w:spacing w:val="-3"/>
          <w14:ligatures w14:val="none"/>
        </w:rPr>
        <w:t>To establish a qualified program, and therefore benefit from the higher limit, you must meet two additional requirements. First, awards must be granted under a written plan and the plan must be open to all eligible employees without favoritism</w:t>
      </w:r>
      <w:r w:rsidR="00847E66">
        <w:rPr>
          <w:rFonts w:ascii="Times New Roman" w:hAnsi="Times New Roman"/>
          <w:spacing w:val="-3"/>
          <w14:ligatures w14:val="none"/>
        </w:rPr>
        <w:t xml:space="preserve">. </w:t>
      </w:r>
      <w:r w:rsidR="003947B4">
        <w:rPr>
          <w:rFonts w:ascii="Times New Roman" w:hAnsi="Times New Roman"/>
          <w:spacing w:val="-3"/>
          <w14:ligatures w14:val="none"/>
        </w:rPr>
        <w:t>Also</w:t>
      </w:r>
      <w:r w:rsidR="00847E66">
        <w:rPr>
          <w:rFonts w:ascii="Times New Roman" w:hAnsi="Times New Roman"/>
          <w:spacing w:val="-3"/>
          <w14:ligatures w14:val="none"/>
        </w:rPr>
        <w:t xml:space="preserve">, it </w:t>
      </w:r>
      <w:r w:rsidRPr="006958DC">
        <w:rPr>
          <w:rFonts w:ascii="Times New Roman" w:hAnsi="Times New Roman"/>
          <w:spacing w:val="-3"/>
          <w14:ligatures w14:val="none"/>
        </w:rPr>
        <w:t xml:space="preserve">must not discriminate in favor of highly compensated employees as to eligibility or benefits. For 2024, the salary threshold for a highly compensated employee is $155,000.  </w:t>
      </w:r>
    </w:p>
    <w:p w14:paraId="6FAB0E5C" w14:textId="2A3F50FA" w:rsidR="006958DC" w:rsidRPr="006958DC" w:rsidRDefault="001633F7" w:rsidP="006958DC">
      <w:pPr>
        <w:spacing w:after="200"/>
        <w:rPr>
          <w:rFonts w:ascii="Times New Roman" w:hAnsi="Times New Roman"/>
          <w:spacing w:val="-3"/>
          <w14:ligatures w14:val="none"/>
        </w:rPr>
      </w:pPr>
      <w:r>
        <w:rPr>
          <w:rFonts w:ascii="Times New Roman" w:hAnsi="Times New Roman"/>
          <w:spacing w:val="-3"/>
          <w14:ligatures w14:val="none"/>
        </w:rPr>
        <w:t>A</w:t>
      </w:r>
      <w:r w:rsidR="006958DC" w:rsidRPr="006958DC">
        <w:rPr>
          <w:rFonts w:ascii="Times New Roman" w:hAnsi="Times New Roman"/>
          <w:spacing w:val="-3"/>
          <w14:ligatures w14:val="none"/>
        </w:rPr>
        <w:t>wards of nominal valu</w:t>
      </w:r>
      <w:r w:rsidR="00DE7268">
        <w:rPr>
          <w:rFonts w:ascii="Times New Roman" w:hAnsi="Times New Roman"/>
          <w:spacing w:val="-3"/>
          <w14:ligatures w14:val="none"/>
        </w:rPr>
        <w:t xml:space="preserve">e are generally not taxable. These are small infrequent gifts such as a </w:t>
      </w:r>
      <w:r w:rsidR="00097B7A">
        <w:rPr>
          <w:rFonts w:ascii="Times New Roman" w:hAnsi="Times New Roman"/>
          <w:spacing w:val="-3"/>
          <w14:ligatures w14:val="none"/>
        </w:rPr>
        <w:t xml:space="preserve">coffee mug, a </w:t>
      </w:r>
      <w:proofErr w:type="gramStart"/>
      <w:r w:rsidR="00097B7A">
        <w:rPr>
          <w:rFonts w:ascii="Times New Roman" w:hAnsi="Times New Roman"/>
          <w:spacing w:val="-3"/>
          <w14:ligatures w14:val="none"/>
        </w:rPr>
        <w:t>t-shirt</w:t>
      </w:r>
      <w:proofErr w:type="gramEnd"/>
      <w:r w:rsidR="00097B7A">
        <w:rPr>
          <w:rFonts w:ascii="Times New Roman" w:hAnsi="Times New Roman"/>
          <w:spacing w:val="-3"/>
          <w14:ligatures w14:val="none"/>
        </w:rPr>
        <w:t xml:space="preserve"> or an occasional meal. </w:t>
      </w:r>
    </w:p>
    <w:p w14:paraId="1052D2E4" w14:textId="77777777" w:rsidR="006958DC" w:rsidRPr="006958DC" w:rsidRDefault="006958DC" w:rsidP="006958DC">
      <w:pPr>
        <w:spacing w:after="200"/>
        <w:rPr>
          <w:rFonts w:ascii="Times New Roman" w:hAnsi="Times New Roman"/>
          <w:b/>
          <w:bCs/>
          <w14:ligatures w14:val="none"/>
        </w:rPr>
      </w:pPr>
      <w:r w:rsidRPr="006958DC">
        <w:rPr>
          <w:rFonts w:ascii="Times New Roman" w:hAnsi="Times New Roman"/>
          <w:b/>
          <w:bCs/>
          <w14:ligatures w14:val="none"/>
        </w:rPr>
        <w:t xml:space="preserve">Explore the </w:t>
      </w:r>
      <w:proofErr w:type="gramStart"/>
      <w:r w:rsidRPr="006958DC">
        <w:rPr>
          <w:rFonts w:ascii="Times New Roman" w:hAnsi="Times New Roman"/>
          <w:b/>
          <w:bCs/>
          <w14:ligatures w14:val="none"/>
        </w:rPr>
        <w:t>idea</w:t>
      </w:r>
      <w:proofErr w:type="gramEnd"/>
    </w:p>
    <w:p w14:paraId="547124DB" w14:textId="15F24F82" w:rsidR="006958DC" w:rsidRPr="006958DC" w:rsidRDefault="006958DC" w:rsidP="006958DC">
      <w:pPr>
        <w:spacing w:after="200"/>
        <w:rPr>
          <w:rFonts w:ascii="Times New Roman" w:hAnsi="Times New Roman"/>
          <w14:ligatures w14:val="none"/>
        </w:rPr>
      </w:pPr>
      <w:r w:rsidRPr="006958DC">
        <w:rPr>
          <w:rFonts w:ascii="Times New Roman" w:hAnsi="Times New Roman"/>
          <w14:ligatures w14:val="none"/>
        </w:rPr>
        <w:t>If an achievement award</w:t>
      </w:r>
      <w:r w:rsidR="003947B4">
        <w:rPr>
          <w:rFonts w:ascii="Times New Roman" w:hAnsi="Times New Roman"/>
          <w14:ligatures w14:val="none"/>
        </w:rPr>
        <w:t>s</w:t>
      </w:r>
      <w:r w:rsidRPr="006958DC">
        <w:rPr>
          <w:rFonts w:ascii="Times New Roman" w:hAnsi="Times New Roman"/>
          <w14:ligatures w14:val="none"/>
        </w:rPr>
        <w:t xml:space="preserve"> program makes sense for your company, you need to ensure that these requirements are met to avoid </w:t>
      </w:r>
      <w:r w:rsidR="00847E66">
        <w:rPr>
          <w:rFonts w:ascii="Times New Roman" w:hAnsi="Times New Roman"/>
          <w14:ligatures w14:val="none"/>
        </w:rPr>
        <w:t xml:space="preserve">negative </w:t>
      </w:r>
      <w:r w:rsidRPr="006958DC">
        <w:rPr>
          <w:rFonts w:ascii="Times New Roman" w:hAnsi="Times New Roman"/>
          <w14:ligatures w14:val="none"/>
        </w:rPr>
        <w:t xml:space="preserve">tax consequences. Contact us for guidance in setting up a program that checks all the boxes. </w:t>
      </w:r>
    </w:p>
    <w:p w14:paraId="139FCFF6" w14:textId="77777777" w:rsidR="006958DC" w:rsidRPr="006958DC" w:rsidRDefault="006958DC" w:rsidP="006958DC">
      <w:pPr>
        <w:spacing w:after="200"/>
        <w:rPr>
          <w:rFonts w:ascii="Times New Roman" w:hAnsi="Times New Roman"/>
          <w14:ligatures w14:val="none"/>
        </w:rPr>
      </w:pPr>
    </w:p>
    <w:p w14:paraId="74F9C125" w14:textId="77777777" w:rsidR="006958DC" w:rsidRPr="006958DC" w:rsidRDefault="006958DC" w:rsidP="006958DC">
      <w:pPr>
        <w:spacing w:after="200"/>
        <w:rPr>
          <w:rFonts w:ascii="Times New Roman" w:hAnsi="Times New Roman"/>
          <w:i/>
          <w:iCs/>
          <w14:ligatures w14:val="none"/>
        </w:rPr>
      </w:pPr>
      <w:r w:rsidRPr="006958DC">
        <w:rPr>
          <w:rFonts w:ascii="Times New Roman" w:hAnsi="Times New Roman"/>
          <w:i/>
          <w:iCs/>
          <w14:ligatures w14:val="none"/>
        </w:rPr>
        <w:t xml:space="preserve"> </w:t>
      </w:r>
    </w:p>
    <w:p w14:paraId="2C738BCC" w14:textId="77777777" w:rsidR="006958DC" w:rsidRPr="006958DC" w:rsidRDefault="006958DC" w:rsidP="006958DC">
      <w:pPr>
        <w:spacing w:after="200"/>
        <w:rPr>
          <w:rFonts w:ascii="Times New Roman" w:hAnsi="Times New Roman"/>
          <w:i/>
          <w:iCs/>
          <w14:ligatures w14:val="none"/>
        </w:rPr>
      </w:pPr>
    </w:p>
    <w:p w14:paraId="67C6E58D" w14:textId="77777777" w:rsidR="006958DC" w:rsidRPr="006958DC" w:rsidRDefault="006958DC" w:rsidP="006958DC">
      <w:pPr>
        <w:spacing w:after="200"/>
        <w:rPr>
          <w:rFonts w:ascii="Times New Roman" w:hAnsi="Times New Roman"/>
          <w14:ligatures w14:val="none"/>
        </w:rPr>
      </w:pPr>
      <w:r w:rsidRPr="006958DC">
        <w:rPr>
          <w14:ligatures w14:val="none"/>
        </w:rPr>
        <w:t xml:space="preserve"> </w:t>
      </w:r>
    </w:p>
    <w:p w14:paraId="0E759DB1" w14:textId="54614742" w:rsidR="00D8271B" w:rsidRDefault="00D8271B"/>
    <w:sectPr w:rsidR="00D8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DC"/>
    <w:rsid w:val="00095B85"/>
    <w:rsid w:val="00097B7A"/>
    <w:rsid w:val="001633F7"/>
    <w:rsid w:val="001B7658"/>
    <w:rsid w:val="00210A1E"/>
    <w:rsid w:val="00211804"/>
    <w:rsid w:val="002B2E5B"/>
    <w:rsid w:val="00330D25"/>
    <w:rsid w:val="003947B4"/>
    <w:rsid w:val="006958DC"/>
    <w:rsid w:val="00847E66"/>
    <w:rsid w:val="00C92EFD"/>
    <w:rsid w:val="00D3320C"/>
    <w:rsid w:val="00D8271B"/>
    <w:rsid w:val="00DE7268"/>
    <w:rsid w:val="00E1360A"/>
    <w:rsid w:val="00E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7BC5"/>
  <w15:chartTrackingRefBased/>
  <w15:docId w15:val="{E212063E-3179-4E8F-81F4-94E0E034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DC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958DC"/>
    <w:rPr>
      <w:b/>
      <w:bCs/>
    </w:rPr>
  </w:style>
  <w:style w:type="paragraph" w:styleId="NormalWeb">
    <w:name w:val="Normal (Web)"/>
    <w:basedOn w:val="Normal"/>
    <w:uiPriority w:val="99"/>
    <w:unhideWhenUsed/>
    <w:rsid w:val="006958D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1B765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7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66"/>
    <w:rPr>
      <w:rFonts w:ascii="Cambria" w:eastAsia="MS Mincho" w:hAnsi="Cambria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E66"/>
    <w:rPr>
      <w:rFonts w:ascii="Cambria" w:eastAsia="MS Mincho" w:hAnsi="Cambria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25F811B5-6AF2-4C27-9FB8-5773A77673C0}"/>
</file>

<file path=customXml/itemProps2.xml><?xml version="1.0" encoding="utf-8"?>
<ds:datastoreItem xmlns:ds="http://schemas.openxmlformats.org/officeDocument/2006/customXml" ds:itemID="{5019F72D-CEAD-49B3-AC45-DCD2056D53D7}"/>
</file>

<file path=customXml/itemProps3.xml><?xml version="1.0" encoding="utf-8"?>
<ds:datastoreItem xmlns:ds="http://schemas.openxmlformats.org/officeDocument/2006/customXml" ds:itemID="{F9A7A0F8-1834-4E96-B586-ED5B2EF56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Ambord</dc:creator>
  <cp:keywords/>
  <dc:description/>
  <cp:lastModifiedBy>Teresa Ambord</cp:lastModifiedBy>
  <cp:revision>8</cp:revision>
  <dcterms:created xsi:type="dcterms:W3CDTF">2024-08-22T21:26:00Z</dcterms:created>
  <dcterms:modified xsi:type="dcterms:W3CDTF">2024-08-22T23:02:00Z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</Properties>
</file>